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D3F" w:rsidRPr="001B7D3F" w:rsidRDefault="00CE4BDA" w:rsidP="00CE4BDA">
      <w:pPr>
        <w:ind w:left="3540"/>
        <w:rPr>
          <w:rFonts w:ascii="Times New Roman" w:hAnsi="Times New Roman"/>
          <w:b/>
          <w:sz w:val="28"/>
          <w:szCs w:val="28"/>
          <w:lang w:val="kk-KZ"/>
        </w:rPr>
      </w:pPr>
      <w:r>
        <w:rPr>
          <w:rFonts w:ascii="Times New Roman" w:hAnsi="Times New Roman"/>
          <w:i/>
          <w:sz w:val="28"/>
          <w:szCs w:val="28"/>
          <w:lang w:val="kk-KZ"/>
        </w:rPr>
        <w:t xml:space="preserve"> </w:t>
      </w:r>
      <w:r w:rsidRPr="001B7D3F">
        <w:rPr>
          <w:rFonts w:ascii="Times New Roman" w:hAnsi="Times New Roman"/>
          <w:b/>
          <w:sz w:val="28"/>
          <w:szCs w:val="28"/>
          <w:lang w:val="kk-KZ"/>
        </w:rPr>
        <w:t>БАҒАЛАУ</w:t>
      </w:r>
    </w:p>
    <w:p w:rsidR="005A7820" w:rsidRDefault="005A7820" w:rsidP="001B7D3F">
      <w:pPr>
        <w:jc w:val="center"/>
        <w:rPr>
          <w:rFonts w:ascii="Times New Roman" w:hAnsi="Times New Roman"/>
          <w:b/>
          <w:sz w:val="28"/>
          <w:szCs w:val="28"/>
          <w:lang w:val="kk-KZ"/>
        </w:rPr>
      </w:pPr>
      <w:r w:rsidRPr="001B7D3F">
        <w:rPr>
          <w:rFonts w:ascii="Times New Roman" w:hAnsi="Times New Roman"/>
          <w:b/>
          <w:sz w:val="28"/>
          <w:szCs w:val="28"/>
          <w:lang w:val="kk-KZ"/>
        </w:rPr>
        <w:t xml:space="preserve">Қазақстан Республикасы Қаржы министрінің </w:t>
      </w:r>
    </w:p>
    <w:p w:rsidR="001B7D3F" w:rsidRPr="005A7820" w:rsidRDefault="001271A2" w:rsidP="001B7D3F">
      <w:pPr>
        <w:jc w:val="center"/>
        <w:rPr>
          <w:rFonts w:ascii="Times New Roman" w:hAnsi="Times New Roman"/>
          <w:b/>
          <w:sz w:val="28"/>
          <w:szCs w:val="28"/>
          <w:lang w:val="kk-KZ"/>
        </w:rPr>
      </w:pPr>
      <w:r w:rsidRPr="001271A2">
        <w:rPr>
          <w:rFonts w:ascii="Times New Roman" w:hAnsi="Times New Roman"/>
          <w:b/>
          <w:sz w:val="28"/>
          <w:szCs w:val="28"/>
          <w:lang w:val="kk-KZ"/>
        </w:rPr>
        <w:t>«</w:t>
      </w:r>
      <w:r w:rsidR="002B0464" w:rsidRPr="002B0464">
        <w:rPr>
          <w:rFonts w:ascii="Times New Roman" w:hAnsi="Times New Roman"/>
          <w:b/>
          <w:sz w:val="28"/>
          <w:szCs w:val="28"/>
          <w:lang w:val="kk-KZ"/>
        </w:rPr>
        <w:t>Шетел мемлекеттерінен, халықаралық және шетелдік ұйымдардан, шетелдіктер мен азаматтығы жоқ адамдардан ақша және (немесе) өзге де мүлікті алатын және пайдаланатын жеке тұлғаға және (немесе) заңды тұлғаның құрылымдық бөлімшесіне байланысты кейбір мәселелер туралы, сондай-ақ мұндай тұлғалардың деректер базасын қалыптастыру Қағидаларын бекіту туралы</w:t>
      </w:r>
      <w:bookmarkStart w:id="0" w:name="_GoBack"/>
      <w:bookmarkEnd w:id="0"/>
      <w:r>
        <w:rPr>
          <w:rFonts w:ascii="Times New Roman" w:hAnsi="Times New Roman"/>
          <w:b/>
          <w:sz w:val="28"/>
          <w:szCs w:val="28"/>
          <w:lang w:val="kk-KZ"/>
        </w:rPr>
        <w:t>»</w:t>
      </w:r>
      <w:r w:rsidR="001B7D3F" w:rsidRPr="001B7D3F">
        <w:rPr>
          <w:rFonts w:ascii="Times New Roman" w:hAnsi="Times New Roman"/>
          <w:b/>
          <w:sz w:val="28"/>
          <w:szCs w:val="28"/>
          <w:lang w:val="kk-KZ"/>
        </w:rPr>
        <w:t xml:space="preserve"> </w:t>
      </w:r>
      <w:r w:rsidR="005A7820" w:rsidRPr="005A7820">
        <w:rPr>
          <w:rFonts w:ascii="Times New Roman" w:hAnsi="Times New Roman"/>
          <w:b/>
          <w:sz w:val="28"/>
          <w:szCs w:val="28"/>
          <w:lang w:val="kk-KZ"/>
        </w:rPr>
        <w:t>бұйрығының жобасын қабылдаудың ықтимал қоғамдық – саяси, құқықтық, ақпараттық және өзге де салдарлары</w:t>
      </w:r>
    </w:p>
    <w:p w:rsidR="001B7D3F" w:rsidRPr="001B7D3F" w:rsidRDefault="001B7D3F" w:rsidP="001B7D3F">
      <w:pPr>
        <w:jc w:val="both"/>
        <w:rPr>
          <w:rFonts w:ascii="Times New Roman" w:hAnsi="Times New Roman"/>
          <w:b/>
          <w:sz w:val="28"/>
          <w:szCs w:val="28"/>
          <w:lang w:val="kk-KZ"/>
        </w:rPr>
      </w:pPr>
    </w:p>
    <w:p w:rsidR="001B7D3F" w:rsidRPr="001B7D3F" w:rsidRDefault="001B7D3F" w:rsidP="001B7D3F">
      <w:pPr>
        <w:jc w:val="both"/>
        <w:rPr>
          <w:rFonts w:ascii="Times New Roman" w:hAnsi="Times New Roman"/>
          <w:b/>
          <w:sz w:val="28"/>
          <w:szCs w:val="28"/>
          <w:lang w:val="kk-KZ"/>
        </w:rPr>
      </w:pPr>
    </w:p>
    <w:p w:rsidR="001B7D3F" w:rsidRPr="001B7D3F" w:rsidRDefault="001B7D3F" w:rsidP="001B7D3F">
      <w:pPr>
        <w:ind w:firstLine="708"/>
        <w:jc w:val="both"/>
        <w:rPr>
          <w:rFonts w:ascii="Times New Roman" w:hAnsi="Times New Roman"/>
          <w:b/>
          <w:sz w:val="28"/>
          <w:szCs w:val="28"/>
          <w:lang w:val="kk-KZ"/>
        </w:rPr>
      </w:pPr>
      <w:r w:rsidRPr="001B7D3F">
        <w:rPr>
          <w:rFonts w:ascii="Times New Roman" w:hAnsi="Times New Roman"/>
          <w:b/>
          <w:sz w:val="28"/>
          <w:szCs w:val="28"/>
          <w:lang w:val="kk-KZ"/>
        </w:rPr>
        <w:t>1.    Қоғамдық-саяси салдарларды бағалау:</w:t>
      </w:r>
    </w:p>
    <w:p w:rsidR="006930B0" w:rsidRPr="006930B0" w:rsidRDefault="006930B0" w:rsidP="006930B0">
      <w:pPr>
        <w:ind w:firstLine="708"/>
        <w:jc w:val="both"/>
        <w:rPr>
          <w:rFonts w:ascii="Times New Roman" w:hAnsi="Times New Roman"/>
          <w:sz w:val="28"/>
          <w:szCs w:val="28"/>
          <w:lang w:val="kk-KZ"/>
        </w:rPr>
      </w:pPr>
      <w:r w:rsidRPr="006930B0">
        <w:rPr>
          <w:rFonts w:ascii="Times New Roman" w:hAnsi="Times New Roman"/>
          <w:sz w:val="28"/>
          <w:szCs w:val="28"/>
          <w:lang w:val="kk-KZ"/>
        </w:rPr>
        <w:t>Жоба азаматтардың конституциялық құқықтарын және шетелдік қаржыландыруды пайдалану саласындағы есептілік қағидаттарын бұзбайды. Ол тек қана шетел мемлекеттерінен, халықаралық және шетелдік ұйымдардан, шетел азаматтарынан және азаматтығы жоқ адамдардан ақша қаражатын және (немесе) өзге де мүлікті алатын және пайдаланатын жеке тұлғаларға және (немесе) заңды тұлғаның құрылымдық</w:t>
      </w:r>
      <w:r>
        <w:rPr>
          <w:rFonts w:ascii="Times New Roman" w:hAnsi="Times New Roman"/>
          <w:sz w:val="28"/>
          <w:szCs w:val="28"/>
          <w:lang w:val="kk-KZ"/>
        </w:rPr>
        <w:t xml:space="preserve"> бөлімшелеріне қатысты болады.</w:t>
      </w:r>
    </w:p>
    <w:p w:rsidR="006930B0" w:rsidRPr="006930B0" w:rsidRDefault="006930B0" w:rsidP="006930B0">
      <w:pPr>
        <w:ind w:firstLine="708"/>
        <w:jc w:val="both"/>
        <w:rPr>
          <w:rFonts w:ascii="Times New Roman" w:hAnsi="Times New Roman"/>
          <w:sz w:val="28"/>
          <w:szCs w:val="28"/>
          <w:lang w:val="kk-KZ"/>
        </w:rPr>
      </w:pPr>
      <w:r w:rsidRPr="006930B0">
        <w:rPr>
          <w:rFonts w:ascii="Times New Roman" w:hAnsi="Times New Roman"/>
          <w:sz w:val="28"/>
          <w:szCs w:val="28"/>
          <w:lang w:val="kk-KZ"/>
        </w:rPr>
        <w:t xml:space="preserve">Жобаны қабылдау қоғамда әлеуметтік шиеленіс немесе наразылық туғызбайды. Керісінше, бұл Жоба азаматтардың мемлекетке де, үкіметтік емес ұйымдарға да деген сенім </w:t>
      </w:r>
      <w:r>
        <w:rPr>
          <w:rFonts w:ascii="Times New Roman" w:hAnsi="Times New Roman"/>
          <w:sz w:val="28"/>
          <w:szCs w:val="28"/>
          <w:lang w:val="kk-KZ"/>
        </w:rPr>
        <w:t>деңгейін арттыруға бағытталған.</w:t>
      </w:r>
    </w:p>
    <w:p w:rsidR="006930B0" w:rsidRPr="006930B0" w:rsidRDefault="006930B0" w:rsidP="006930B0">
      <w:pPr>
        <w:ind w:firstLine="708"/>
        <w:jc w:val="both"/>
        <w:rPr>
          <w:rFonts w:ascii="Times New Roman" w:hAnsi="Times New Roman"/>
          <w:sz w:val="28"/>
          <w:szCs w:val="28"/>
          <w:lang w:val="kk-KZ"/>
        </w:rPr>
      </w:pPr>
      <w:r w:rsidRPr="006930B0">
        <w:rPr>
          <w:rFonts w:ascii="Times New Roman" w:hAnsi="Times New Roman"/>
          <w:sz w:val="28"/>
          <w:szCs w:val="28"/>
          <w:lang w:val="kk-KZ"/>
        </w:rPr>
        <w:t>Өз қызметі және шетелдік көздерден алынған ақша қаражаты туралы мәліметтерді ұсыну жөніндегі талаптар халықаралық тәжірибеге толық сәйкес келеді</w:t>
      </w:r>
      <w:r>
        <w:rPr>
          <w:rFonts w:ascii="Times New Roman" w:hAnsi="Times New Roman"/>
          <w:sz w:val="28"/>
          <w:szCs w:val="28"/>
          <w:lang w:val="kk-KZ"/>
        </w:rPr>
        <w:t>.</w:t>
      </w:r>
    </w:p>
    <w:p w:rsidR="001B7D3F" w:rsidRPr="001B7D3F" w:rsidRDefault="001B7D3F" w:rsidP="001526C2">
      <w:pPr>
        <w:ind w:firstLine="708"/>
        <w:jc w:val="both"/>
        <w:rPr>
          <w:rFonts w:ascii="Times New Roman" w:hAnsi="Times New Roman"/>
          <w:b/>
          <w:sz w:val="28"/>
          <w:szCs w:val="28"/>
          <w:lang w:val="kk-KZ"/>
        </w:rPr>
      </w:pPr>
      <w:r w:rsidRPr="001B7D3F">
        <w:rPr>
          <w:rFonts w:ascii="Times New Roman" w:hAnsi="Times New Roman"/>
          <w:b/>
          <w:sz w:val="28"/>
          <w:szCs w:val="28"/>
          <w:lang w:val="kk-KZ"/>
        </w:rPr>
        <w:t>2.    Құқықтық салдарды бағалау:</w:t>
      </w:r>
    </w:p>
    <w:p w:rsidR="006930B0" w:rsidRPr="006930B0" w:rsidRDefault="006930B0" w:rsidP="006930B0">
      <w:pPr>
        <w:ind w:firstLine="708"/>
        <w:jc w:val="both"/>
        <w:rPr>
          <w:rFonts w:ascii="Times New Roman" w:hAnsi="Times New Roman"/>
          <w:sz w:val="28"/>
          <w:szCs w:val="28"/>
          <w:lang w:val="kk-KZ"/>
        </w:rPr>
      </w:pPr>
      <w:r w:rsidRPr="006930B0">
        <w:rPr>
          <w:rFonts w:ascii="Times New Roman" w:hAnsi="Times New Roman"/>
          <w:sz w:val="28"/>
          <w:szCs w:val="28"/>
          <w:lang w:val="kk-KZ"/>
        </w:rPr>
        <w:t>Жоба Қазақстан Республикасының Салық кодексінің 56-бабының 9-тармағының 2) тармақшасына сәйкес әзірленген. Осыған орай, ол Қазақстан Республикасының Конституциясына және Қазақстан Республикасының қолданыстағы өзге де нормативтік құқықтық</w:t>
      </w:r>
      <w:r>
        <w:rPr>
          <w:rFonts w:ascii="Times New Roman" w:hAnsi="Times New Roman"/>
          <w:sz w:val="28"/>
          <w:szCs w:val="28"/>
          <w:lang w:val="kk-KZ"/>
        </w:rPr>
        <w:t xml:space="preserve"> актілеріне қайшы келмейді.</w:t>
      </w:r>
    </w:p>
    <w:p w:rsidR="001526C2" w:rsidRPr="006930B0" w:rsidRDefault="006930B0" w:rsidP="006930B0">
      <w:pPr>
        <w:ind w:firstLine="708"/>
        <w:jc w:val="both"/>
        <w:rPr>
          <w:rFonts w:ascii="Times New Roman" w:hAnsi="Times New Roman"/>
          <w:sz w:val="28"/>
          <w:szCs w:val="28"/>
          <w:lang w:val="kk-KZ"/>
        </w:rPr>
      </w:pPr>
      <w:r w:rsidRPr="006930B0">
        <w:rPr>
          <w:rFonts w:ascii="Times New Roman" w:hAnsi="Times New Roman"/>
          <w:sz w:val="28"/>
          <w:szCs w:val="28"/>
          <w:lang w:val="kk-KZ"/>
        </w:rPr>
        <w:t>Бекітілген мәліметтерді және мәліметтерді ұсынудың бірыңғай қағидаларын енгізу қайшылықтарды болдырмайтын және заңнаманы біркелкі қолдануды қамтамасыз ететін айқын құқықтық тетік қалыптастырады. Бұл шетелдік қаржыландыру алушылар үшін де, мемлекеттік органдар үшін де құқықтық айқындықты арттырады, рәсімдерді біріздендіру есебінен әкімшілік жүктемені азайтады және міндеттемелерді уақытылы әрі ерікті түрде орындауға ықпал етеді.</w:t>
      </w:r>
    </w:p>
    <w:p w:rsidR="001B7D3F" w:rsidRPr="001B7D3F" w:rsidRDefault="001B7D3F" w:rsidP="001B7D3F">
      <w:pPr>
        <w:ind w:firstLine="708"/>
        <w:jc w:val="both"/>
        <w:rPr>
          <w:rFonts w:ascii="Times New Roman" w:hAnsi="Times New Roman"/>
          <w:b/>
          <w:sz w:val="28"/>
          <w:szCs w:val="28"/>
          <w:lang w:val="kk-KZ"/>
        </w:rPr>
      </w:pPr>
      <w:r w:rsidRPr="001B7D3F">
        <w:rPr>
          <w:rFonts w:ascii="Times New Roman" w:hAnsi="Times New Roman"/>
          <w:b/>
          <w:sz w:val="28"/>
          <w:szCs w:val="28"/>
          <w:lang w:val="kk-KZ"/>
        </w:rPr>
        <w:t>3.    Ақпараттық салдарды бағалау:</w:t>
      </w:r>
    </w:p>
    <w:p w:rsidR="006930B0" w:rsidRPr="006930B0" w:rsidRDefault="006930B0" w:rsidP="006930B0">
      <w:pPr>
        <w:ind w:firstLine="708"/>
        <w:jc w:val="both"/>
        <w:rPr>
          <w:rFonts w:ascii="Times New Roman" w:hAnsi="Times New Roman"/>
          <w:sz w:val="28"/>
          <w:szCs w:val="28"/>
          <w:lang w:val="kk-KZ"/>
        </w:rPr>
      </w:pPr>
      <w:r w:rsidRPr="006930B0">
        <w:rPr>
          <w:rFonts w:ascii="Times New Roman" w:hAnsi="Times New Roman"/>
          <w:sz w:val="28"/>
          <w:szCs w:val="28"/>
          <w:lang w:val="kk-KZ"/>
        </w:rPr>
        <w:t xml:space="preserve">Жобаның ақпараттық салдары орташа деп бағаланады, себебі Жоба заңды тұлғалардың және олардың құрылымдық бөлімшелерінің, сондай-ақ шетелдік көздерден қаражат пен мүлікті алатын және/немесе пайдаланатын өзге де тұлғалардың дерекқорын қалыптастыру қағидаларын белгілеуге бағытталған. Жоба тиісті ақпаратты жинау және жүйелендіру тәртібін регламенттейді. Жобаның мақсаты – заңды тұлғалардың құрылымдық бөлімшелері және (немесе) өзге де тұлғалар тарапынан шетелдік ұйымдардан, </w:t>
      </w:r>
      <w:r w:rsidRPr="006930B0">
        <w:rPr>
          <w:rFonts w:ascii="Times New Roman" w:hAnsi="Times New Roman"/>
          <w:sz w:val="28"/>
          <w:szCs w:val="28"/>
          <w:lang w:val="kk-KZ"/>
        </w:rPr>
        <w:lastRenderedPageBreak/>
        <w:t>шетел азаматтарынан және азаматтығы жоқ адамдардан ақша қаражатын және (немесе) өзге де мүлікті алу және пайдалану туралы мәліметтерді ұсыну тәртібі мен мерзімдерін, сондай-ақ мұндай мәліметтердің нысандарын, мемлекеттік кірістер органдарын хабардар ету ныса</w:t>
      </w:r>
      <w:r>
        <w:rPr>
          <w:rFonts w:ascii="Times New Roman" w:hAnsi="Times New Roman"/>
          <w:sz w:val="28"/>
          <w:szCs w:val="28"/>
          <w:lang w:val="kk-KZ"/>
        </w:rPr>
        <w:t>ндарын айқындау болып табылады.</w:t>
      </w:r>
    </w:p>
    <w:p w:rsidR="00474B7C" w:rsidRPr="006930B0" w:rsidRDefault="006930B0" w:rsidP="006930B0">
      <w:pPr>
        <w:ind w:firstLine="708"/>
        <w:jc w:val="both"/>
        <w:rPr>
          <w:rFonts w:ascii="Times New Roman" w:hAnsi="Times New Roman"/>
          <w:sz w:val="28"/>
          <w:szCs w:val="28"/>
          <w:lang w:val="kk-KZ"/>
        </w:rPr>
      </w:pPr>
      <w:r w:rsidRPr="006930B0">
        <w:rPr>
          <w:rFonts w:ascii="Times New Roman" w:hAnsi="Times New Roman"/>
          <w:sz w:val="28"/>
          <w:szCs w:val="28"/>
          <w:lang w:val="kk-KZ"/>
        </w:rPr>
        <w:t>Сонымен қатар, жаңа Салық кодексінің нормаларына сәйкестендіруге байланысты түсіндіру жұмыстарын жүргізу қажеттілігі туындамайды, қажет болған жағдайда баспасөз-релизі ұсынылады.</w:t>
      </w:r>
    </w:p>
    <w:p w:rsidR="001B7D3F" w:rsidRPr="001B7D3F" w:rsidRDefault="001B7D3F" w:rsidP="001B7D3F">
      <w:pPr>
        <w:ind w:firstLine="708"/>
        <w:jc w:val="both"/>
        <w:rPr>
          <w:rFonts w:ascii="Times New Roman" w:hAnsi="Times New Roman"/>
          <w:b/>
          <w:sz w:val="28"/>
          <w:szCs w:val="28"/>
          <w:lang w:val="kk-KZ"/>
        </w:rPr>
      </w:pPr>
      <w:r w:rsidRPr="001B7D3F">
        <w:rPr>
          <w:rFonts w:ascii="Times New Roman" w:hAnsi="Times New Roman"/>
          <w:b/>
          <w:sz w:val="28"/>
          <w:szCs w:val="28"/>
          <w:lang w:val="kk-KZ"/>
        </w:rPr>
        <w:t>4.    Басқа салдарларды бағалау:</w:t>
      </w:r>
    </w:p>
    <w:p w:rsidR="006930B0" w:rsidRPr="006930B0" w:rsidRDefault="006930B0" w:rsidP="006930B0">
      <w:pPr>
        <w:ind w:firstLine="708"/>
        <w:jc w:val="both"/>
        <w:rPr>
          <w:rFonts w:ascii="Times New Roman" w:hAnsi="Times New Roman"/>
          <w:sz w:val="28"/>
          <w:szCs w:val="28"/>
          <w:lang w:val="kk-KZ"/>
        </w:rPr>
      </w:pPr>
      <w:r w:rsidRPr="006930B0">
        <w:rPr>
          <w:rFonts w:ascii="Times New Roman" w:hAnsi="Times New Roman"/>
          <w:sz w:val="28"/>
          <w:szCs w:val="28"/>
          <w:lang w:val="kk-KZ"/>
        </w:rPr>
        <w:t>Жобаны қабылдау теріс әлеуметтік-экономикалық, құқықтық немесе өзге де салдарға әкелмейді. Керісінше, оны іске асыру трансшекаралық қаржылық операцияларға тиімдірек бақылауды қамтамасыз етуге, салықтық ашықтықты арттыруға және заңсыз қаржыландыру тәуеке</w:t>
      </w:r>
      <w:r>
        <w:rPr>
          <w:rFonts w:ascii="Times New Roman" w:hAnsi="Times New Roman"/>
          <w:sz w:val="28"/>
          <w:szCs w:val="28"/>
          <w:lang w:val="kk-KZ"/>
        </w:rPr>
        <w:t>лдерін төмендетуге ықпал етеді.</w:t>
      </w:r>
    </w:p>
    <w:p w:rsidR="006930B0" w:rsidRPr="006930B0" w:rsidRDefault="006930B0" w:rsidP="006930B0">
      <w:pPr>
        <w:ind w:firstLine="708"/>
        <w:jc w:val="both"/>
        <w:rPr>
          <w:rFonts w:ascii="Times New Roman" w:hAnsi="Times New Roman"/>
          <w:sz w:val="28"/>
          <w:szCs w:val="28"/>
          <w:lang w:val="kk-KZ"/>
        </w:rPr>
      </w:pPr>
      <w:r w:rsidRPr="006930B0">
        <w:rPr>
          <w:rFonts w:ascii="Times New Roman" w:hAnsi="Times New Roman"/>
          <w:sz w:val="28"/>
          <w:szCs w:val="28"/>
          <w:lang w:val="kk-KZ"/>
        </w:rPr>
        <w:t>Қысқа мерзімді перспективада бекітілген нысандар мен тәртіпті енгізу шетелдік қаржыландыру алушылар мен мемлекеттік кірістер органдары арасындағы өзара іс-қимылды реттеуге, рәсімдердің анықтығы мен болжамдылығын қам</w:t>
      </w:r>
      <w:r>
        <w:rPr>
          <w:rFonts w:ascii="Times New Roman" w:hAnsi="Times New Roman"/>
          <w:sz w:val="28"/>
          <w:szCs w:val="28"/>
          <w:lang w:val="kk-KZ"/>
        </w:rPr>
        <w:t>тамасыз етуге мүмкіндік береді.</w:t>
      </w:r>
    </w:p>
    <w:p w:rsidR="00FE0D85" w:rsidRPr="006930B0" w:rsidRDefault="006930B0" w:rsidP="006930B0">
      <w:pPr>
        <w:ind w:firstLine="708"/>
        <w:jc w:val="both"/>
        <w:rPr>
          <w:rFonts w:ascii="Times New Roman" w:hAnsi="Times New Roman"/>
          <w:sz w:val="28"/>
          <w:szCs w:val="28"/>
          <w:lang w:val="kk-KZ"/>
        </w:rPr>
      </w:pPr>
      <w:r w:rsidRPr="006930B0">
        <w:rPr>
          <w:rFonts w:ascii="Times New Roman" w:hAnsi="Times New Roman"/>
          <w:sz w:val="28"/>
          <w:szCs w:val="28"/>
          <w:lang w:val="kk-KZ"/>
        </w:rPr>
        <w:t>Ұзақ мерзімді перспективада қаржылық бақылаудың тиімділігі артады, халықаралық ынтымақтастық дамиды және Қазақстанның қайырымдылық, гуманитарлық және әлеуметтік жобалар саласында сенімді әріптес ретіндегі ұстанымдары нығаяды деп күтілуде.</w:t>
      </w:r>
    </w:p>
    <w:p w:rsidR="00FE0D85" w:rsidRDefault="00FE0D85" w:rsidP="00FE0D85">
      <w:pPr>
        <w:jc w:val="both"/>
        <w:rPr>
          <w:rFonts w:ascii="Times New Roman" w:hAnsi="Times New Roman"/>
          <w:sz w:val="28"/>
          <w:szCs w:val="28"/>
          <w:lang w:val="kk-KZ"/>
        </w:rPr>
      </w:pPr>
    </w:p>
    <w:p w:rsidR="00A13D94" w:rsidRPr="001B7D3F" w:rsidRDefault="00A13D94" w:rsidP="00FE0D85">
      <w:pPr>
        <w:jc w:val="both"/>
        <w:rPr>
          <w:rFonts w:ascii="Times New Roman" w:hAnsi="Times New Roman"/>
          <w:sz w:val="28"/>
          <w:szCs w:val="28"/>
          <w:lang w:val="kk-KZ"/>
        </w:rPr>
      </w:pPr>
    </w:p>
    <w:p w:rsidR="001B7D3F" w:rsidRPr="001B7D3F" w:rsidRDefault="006930B0" w:rsidP="001B7D3F">
      <w:pPr>
        <w:ind w:firstLine="709"/>
        <w:jc w:val="both"/>
        <w:rPr>
          <w:rFonts w:ascii="Times New Roman" w:hAnsi="Times New Roman"/>
          <w:b/>
          <w:bCs/>
          <w:sz w:val="28"/>
          <w:szCs w:val="28"/>
          <w:lang w:val="kk-KZ"/>
        </w:rPr>
      </w:pPr>
      <w:r>
        <w:rPr>
          <w:rFonts w:ascii="Times New Roman" w:hAnsi="Times New Roman"/>
          <w:b/>
          <w:bCs/>
          <w:sz w:val="28"/>
          <w:szCs w:val="28"/>
          <w:lang w:val="kk-KZ"/>
        </w:rPr>
        <w:t xml:space="preserve">    </w:t>
      </w:r>
      <w:r w:rsidR="001B7D3F" w:rsidRPr="001B7D3F">
        <w:rPr>
          <w:rFonts w:ascii="Times New Roman" w:hAnsi="Times New Roman"/>
          <w:b/>
          <w:bCs/>
          <w:sz w:val="28"/>
          <w:szCs w:val="28"/>
          <w:lang w:val="kk-KZ"/>
        </w:rPr>
        <w:t xml:space="preserve">Қазақстан Республикасының </w:t>
      </w:r>
    </w:p>
    <w:p w:rsidR="001B7D3F" w:rsidRPr="001B7D3F" w:rsidRDefault="001B7D3F" w:rsidP="001B7D3F">
      <w:pPr>
        <w:ind w:firstLine="709"/>
        <w:jc w:val="both"/>
        <w:rPr>
          <w:rFonts w:ascii="Times New Roman" w:hAnsi="Times New Roman"/>
          <w:b/>
          <w:bCs/>
          <w:sz w:val="28"/>
          <w:szCs w:val="28"/>
          <w:lang w:val="kk-KZ"/>
        </w:rPr>
      </w:pPr>
      <w:r w:rsidRPr="001B7D3F">
        <w:rPr>
          <w:rFonts w:ascii="Times New Roman" w:hAnsi="Times New Roman"/>
          <w:b/>
          <w:bCs/>
          <w:sz w:val="28"/>
          <w:szCs w:val="28"/>
          <w:lang w:val="kk-KZ"/>
        </w:rPr>
        <w:t>Қаржы министрі</w:t>
      </w:r>
      <w:r w:rsidRPr="001B7D3F">
        <w:rPr>
          <w:rFonts w:ascii="Times New Roman" w:hAnsi="Times New Roman"/>
          <w:b/>
          <w:bCs/>
          <w:sz w:val="28"/>
          <w:szCs w:val="28"/>
          <w:lang w:val="kk-KZ"/>
        </w:rPr>
        <w:tab/>
      </w:r>
      <w:r w:rsidRPr="001B7D3F">
        <w:rPr>
          <w:rFonts w:ascii="Times New Roman" w:hAnsi="Times New Roman"/>
          <w:b/>
          <w:bCs/>
          <w:sz w:val="28"/>
          <w:szCs w:val="28"/>
          <w:lang w:val="kk-KZ"/>
        </w:rPr>
        <w:tab/>
      </w:r>
      <w:r w:rsidRPr="001B7D3F">
        <w:rPr>
          <w:rFonts w:ascii="Times New Roman" w:hAnsi="Times New Roman"/>
          <w:b/>
          <w:bCs/>
          <w:sz w:val="28"/>
          <w:szCs w:val="28"/>
          <w:lang w:val="kk-KZ"/>
        </w:rPr>
        <w:tab/>
      </w:r>
      <w:r w:rsidRPr="001B7D3F">
        <w:rPr>
          <w:rFonts w:ascii="Times New Roman" w:hAnsi="Times New Roman"/>
          <w:b/>
          <w:bCs/>
          <w:sz w:val="28"/>
          <w:szCs w:val="28"/>
          <w:lang w:val="kk-KZ"/>
        </w:rPr>
        <w:tab/>
        <w:t xml:space="preserve">                           М. Тәкиев</w:t>
      </w:r>
    </w:p>
    <w:p w:rsidR="00FE0D85" w:rsidRPr="001B7D3F" w:rsidRDefault="00FE0D85" w:rsidP="00FE0D85">
      <w:pPr>
        <w:ind w:firstLine="709"/>
        <w:jc w:val="both"/>
        <w:rPr>
          <w:rFonts w:ascii="Times New Roman" w:hAnsi="Times New Roman"/>
          <w:b/>
          <w:sz w:val="28"/>
          <w:szCs w:val="28"/>
          <w:lang w:val="kk-KZ"/>
        </w:rPr>
      </w:pPr>
    </w:p>
    <w:p w:rsidR="00FE0D85" w:rsidRDefault="00FE0D85" w:rsidP="00FE0D85">
      <w:pPr>
        <w:ind w:firstLine="709"/>
        <w:jc w:val="both"/>
        <w:rPr>
          <w:rFonts w:ascii="Times New Roman" w:hAnsi="Times New Roman"/>
          <w:b/>
          <w:sz w:val="28"/>
          <w:szCs w:val="28"/>
        </w:rPr>
      </w:pPr>
    </w:p>
    <w:p w:rsidR="00FE0D85" w:rsidRPr="008768D2" w:rsidRDefault="00FE0D85" w:rsidP="00FE0D85">
      <w:pPr>
        <w:pBdr>
          <w:bottom w:val="single" w:sz="4" w:space="13" w:color="FFFFFF"/>
        </w:pBdr>
        <w:tabs>
          <w:tab w:val="left" w:pos="709"/>
        </w:tabs>
        <w:autoSpaceDE w:val="0"/>
        <w:autoSpaceDN w:val="0"/>
        <w:adjustRightInd w:val="0"/>
        <w:jc w:val="both"/>
        <w:rPr>
          <w:rFonts w:ascii="Arial" w:hAnsi="Arial" w:cs="Arial"/>
          <w:sz w:val="28"/>
          <w:szCs w:val="28"/>
        </w:rPr>
      </w:pPr>
      <w:r>
        <w:rPr>
          <w:rFonts w:ascii="Arial" w:eastAsiaTheme="minorHAnsi" w:hAnsi="Arial" w:cs="Arial"/>
          <w:sz w:val="28"/>
          <w:szCs w:val="28"/>
          <w:lang w:eastAsia="ru-RU"/>
        </w:rPr>
        <w:tab/>
      </w:r>
    </w:p>
    <w:sectPr w:rsidR="00FE0D85" w:rsidRPr="008768D2">
      <w:head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6F24" w:rsidRDefault="00086F24" w:rsidP="00FB1918">
      <w:r>
        <w:separator/>
      </w:r>
    </w:p>
  </w:endnote>
  <w:endnote w:type="continuationSeparator" w:id="0">
    <w:p w:rsidR="00086F24" w:rsidRDefault="00086F24" w:rsidP="00FB1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6F24" w:rsidRDefault="00086F24" w:rsidP="00FB1918">
      <w:r>
        <w:separator/>
      </w:r>
    </w:p>
  </w:footnote>
  <w:footnote w:type="continuationSeparator" w:id="0">
    <w:p w:rsidR="00086F24" w:rsidRDefault="00086F24" w:rsidP="00FB19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2A9" w:rsidRDefault="00086F2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D85"/>
    <w:rsid w:val="00012726"/>
    <w:rsid w:val="00047E97"/>
    <w:rsid w:val="00086F24"/>
    <w:rsid w:val="000D05F5"/>
    <w:rsid w:val="000E7E7B"/>
    <w:rsid w:val="001271A2"/>
    <w:rsid w:val="001526C2"/>
    <w:rsid w:val="001B7D3F"/>
    <w:rsid w:val="002B0464"/>
    <w:rsid w:val="003D3B06"/>
    <w:rsid w:val="004133FC"/>
    <w:rsid w:val="00471CB3"/>
    <w:rsid w:val="00474B7C"/>
    <w:rsid w:val="00495D8E"/>
    <w:rsid w:val="00587CFD"/>
    <w:rsid w:val="005A7820"/>
    <w:rsid w:val="00670E51"/>
    <w:rsid w:val="006930B0"/>
    <w:rsid w:val="006B7ADC"/>
    <w:rsid w:val="006C4A8E"/>
    <w:rsid w:val="0095412A"/>
    <w:rsid w:val="00977DEE"/>
    <w:rsid w:val="00A13D94"/>
    <w:rsid w:val="00B54F3F"/>
    <w:rsid w:val="00BD0355"/>
    <w:rsid w:val="00C24E53"/>
    <w:rsid w:val="00C36EE8"/>
    <w:rsid w:val="00C51BB8"/>
    <w:rsid w:val="00C57D15"/>
    <w:rsid w:val="00CE4BDA"/>
    <w:rsid w:val="00D40E80"/>
    <w:rsid w:val="00D62327"/>
    <w:rsid w:val="00DA2044"/>
    <w:rsid w:val="00DD6654"/>
    <w:rsid w:val="00DE7290"/>
    <w:rsid w:val="00E17DAB"/>
    <w:rsid w:val="00E77891"/>
    <w:rsid w:val="00EB5B81"/>
    <w:rsid w:val="00EE7780"/>
    <w:rsid w:val="00FC73DA"/>
    <w:rsid w:val="00FE0D85"/>
    <w:rsid w:val="00FF3F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91C98DA-7A99-4DD2-893D-A0479BFAA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0D85"/>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FE0D85"/>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FF3F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73850">
      <w:bodyDiv w:val="1"/>
      <w:marLeft w:val="0"/>
      <w:marRight w:val="0"/>
      <w:marTop w:val="0"/>
      <w:marBottom w:val="0"/>
      <w:divBdr>
        <w:top w:val="none" w:sz="0" w:space="0" w:color="auto"/>
        <w:left w:val="none" w:sz="0" w:space="0" w:color="auto"/>
        <w:bottom w:val="none" w:sz="0" w:space="0" w:color="auto"/>
        <w:right w:val="none" w:sz="0" w:space="0" w:color="auto"/>
      </w:divBdr>
      <w:divsChild>
        <w:div w:id="1162551653">
          <w:marLeft w:val="0"/>
          <w:marRight w:val="0"/>
          <w:marTop w:val="0"/>
          <w:marBottom w:val="0"/>
          <w:divBdr>
            <w:top w:val="none" w:sz="0" w:space="0" w:color="auto"/>
            <w:left w:val="none" w:sz="0" w:space="0" w:color="auto"/>
            <w:bottom w:val="none" w:sz="0" w:space="0" w:color="auto"/>
            <w:right w:val="none" w:sz="0" w:space="0" w:color="auto"/>
          </w:divBdr>
        </w:div>
        <w:div w:id="1118522539">
          <w:marLeft w:val="0"/>
          <w:marRight w:val="0"/>
          <w:marTop w:val="0"/>
          <w:marBottom w:val="0"/>
          <w:divBdr>
            <w:top w:val="none" w:sz="0" w:space="0" w:color="auto"/>
            <w:left w:val="none" w:sz="0" w:space="0" w:color="auto"/>
            <w:bottom w:val="none" w:sz="0" w:space="0" w:color="auto"/>
            <w:right w:val="none" w:sz="0" w:space="0" w:color="auto"/>
          </w:divBdr>
        </w:div>
        <w:div w:id="1469737691">
          <w:marLeft w:val="0"/>
          <w:marRight w:val="0"/>
          <w:marTop w:val="0"/>
          <w:marBottom w:val="0"/>
          <w:divBdr>
            <w:top w:val="none" w:sz="0" w:space="0" w:color="auto"/>
            <w:left w:val="none" w:sz="0" w:space="0" w:color="auto"/>
            <w:bottom w:val="none" w:sz="0" w:space="0" w:color="auto"/>
            <w:right w:val="none" w:sz="0" w:space="0" w:color="auto"/>
          </w:divBdr>
        </w:div>
      </w:divsChild>
    </w:div>
    <w:div w:id="67851335">
      <w:bodyDiv w:val="1"/>
      <w:marLeft w:val="0"/>
      <w:marRight w:val="0"/>
      <w:marTop w:val="0"/>
      <w:marBottom w:val="0"/>
      <w:divBdr>
        <w:top w:val="none" w:sz="0" w:space="0" w:color="auto"/>
        <w:left w:val="none" w:sz="0" w:space="0" w:color="auto"/>
        <w:bottom w:val="none" w:sz="0" w:space="0" w:color="auto"/>
        <w:right w:val="none" w:sz="0" w:space="0" w:color="auto"/>
      </w:divBdr>
      <w:divsChild>
        <w:div w:id="1150366003">
          <w:marLeft w:val="0"/>
          <w:marRight w:val="0"/>
          <w:marTop w:val="0"/>
          <w:marBottom w:val="0"/>
          <w:divBdr>
            <w:top w:val="none" w:sz="0" w:space="0" w:color="auto"/>
            <w:left w:val="none" w:sz="0" w:space="0" w:color="auto"/>
            <w:bottom w:val="none" w:sz="0" w:space="0" w:color="auto"/>
            <w:right w:val="none" w:sz="0" w:space="0" w:color="auto"/>
          </w:divBdr>
        </w:div>
      </w:divsChild>
    </w:div>
    <w:div w:id="1326200739">
      <w:bodyDiv w:val="1"/>
      <w:marLeft w:val="0"/>
      <w:marRight w:val="0"/>
      <w:marTop w:val="0"/>
      <w:marBottom w:val="0"/>
      <w:divBdr>
        <w:top w:val="none" w:sz="0" w:space="0" w:color="auto"/>
        <w:left w:val="none" w:sz="0" w:space="0" w:color="auto"/>
        <w:bottom w:val="none" w:sz="0" w:space="0" w:color="auto"/>
        <w:right w:val="none" w:sz="0" w:space="0" w:color="auto"/>
      </w:divBdr>
      <w:divsChild>
        <w:div w:id="1765883595">
          <w:marLeft w:val="0"/>
          <w:marRight w:val="0"/>
          <w:marTop w:val="0"/>
          <w:marBottom w:val="0"/>
          <w:divBdr>
            <w:top w:val="none" w:sz="0" w:space="0" w:color="auto"/>
            <w:left w:val="none" w:sz="0" w:space="0" w:color="auto"/>
            <w:bottom w:val="none" w:sz="0" w:space="0" w:color="auto"/>
            <w:right w:val="none" w:sz="0" w:space="0" w:color="auto"/>
          </w:divBdr>
        </w:div>
        <w:div w:id="283270564">
          <w:marLeft w:val="0"/>
          <w:marRight w:val="0"/>
          <w:marTop w:val="0"/>
          <w:marBottom w:val="0"/>
          <w:divBdr>
            <w:top w:val="none" w:sz="0" w:space="0" w:color="auto"/>
            <w:left w:val="none" w:sz="0" w:space="0" w:color="auto"/>
            <w:bottom w:val="none" w:sz="0" w:space="0" w:color="auto"/>
            <w:right w:val="none" w:sz="0" w:space="0" w:color="auto"/>
          </w:divBdr>
        </w:div>
        <w:div w:id="2039155985">
          <w:marLeft w:val="0"/>
          <w:marRight w:val="0"/>
          <w:marTop w:val="0"/>
          <w:marBottom w:val="0"/>
          <w:divBdr>
            <w:top w:val="none" w:sz="0" w:space="0" w:color="auto"/>
            <w:left w:val="none" w:sz="0" w:space="0" w:color="auto"/>
            <w:bottom w:val="none" w:sz="0" w:space="0" w:color="auto"/>
            <w:right w:val="none" w:sz="0" w:space="0" w:color="auto"/>
          </w:divBdr>
        </w:div>
      </w:divsChild>
    </w:div>
    <w:div w:id="1596086114">
      <w:bodyDiv w:val="1"/>
      <w:marLeft w:val="0"/>
      <w:marRight w:val="0"/>
      <w:marTop w:val="0"/>
      <w:marBottom w:val="0"/>
      <w:divBdr>
        <w:top w:val="none" w:sz="0" w:space="0" w:color="auto"/>
        <w:left w:val="none" w:sz="0" w:space="0" w:color="auto"/>
        <w:bottom w:val="none" w:sz="0" w:space="0" w:color="auto"/>
        <w:right w:val="none" w:sz="0" w:space="0" w:color="auto"/>
      </w:divBdr>
      <w:divsChild>
        <w:div w:id="19053355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581</Words>
  <Characters>3315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Балмаганбетова Жанат Дастановна</dc:creator>
  <cp:keywords/>
  <dc:description/>
  <cp:lastModifiedBy>Аружан Канаткызы Каирбекова</cp:lastModifiedBy>
  <cp:revision>7</cp:revision>
  <dcterms:created xsi:type="dcterms:W3CDTF">2025-08-18T13:17:00Z</dcterms:created>
  <dcterms:modified xsi:type="dcterms:W3CDTF">2025-10-02T13:37:00Z</dcterms:modified>
</cp:coreProperties>
</file>